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214BA" w14:textId="77777777" w:rsidR="00AD38EE" w:rsidRDefault="00AD38EE" w:rsidP="00AD38EE">
      <w:pPr>
        <w:jc w:val="center"/>
        <w:rPr>
          <w:rFonts w:eastAsia="Calibri" w:cs="Times New Roman"/>
          <w:b/>
        </w:rPr>
      </w:pPr>
      <w:r>
        <w:rPr>
          <w:noProof/>
          <w:lang w:eastAsia="en-GB"/>
        </w:rPr>
        <w:drawing>
          <wp:inline distT="0" distB="0" distL="0" distR="0" wp14:anchorId="671A9BFA" wp14:editId="02DEA8CE">
            <wp:extent cx="1143000" cy="800100"/>
            <wp:effectExtent l="19050" t="0" r="0" b="0"/>
            <wp:docPr id="5" name="Picture 1" descr="NEW_L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2"/>
                    <pic:cNvPicPr>
                      <a:picLocks noChangeAspect="1" noChangeArrowheads="1"/>
                    </pic:cNvPicPr>
                  </pic:nvPicPr>
                  <pic:blipFill>
                    <a:blip r:embed="rId7"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p>
    <w:p w14:paraId="2E21E090" w14:textId="77777777" w:rsidR="00AD38EE" w:rsidRPr="002C3F31" w:rsidRDefault="00AD38EE" w:rsidP="00AD38EE">
      <w:pPr>
        <w:jc w:val="center"/>
        <w:rPr>
          <w:rFonts w:eastAsia="Calibri" w:cs="Times New Roman"/>
          <w:b/>
        </w:rPr>
      </w:pPr>
      <w:r w:rsidRPr="002C3F31">
        <w:rPr>
          <w:rFonts w:eastAsia="Calibri" w:cs="Times New Roman"/>
          <w:b/>
        </w:rPr>
        <w:t>Association for Industrial Archaeology</w:t>
      </w:r>
    </w:p>
    <w:p w14:paraId="64B0C89B" w14:textId="77777777" w:rsidR="00AD38EE" w:rsidRDefault="00AD38EE" w:rsidP="00AD38EE">
      <w:pPr>
        <w:rPr>
          <w:rFonts w:eastAsia="Calibri" w:cs="Times New Roman"/>
        </w:rPr>
      </w:pPr>
    </w:p>
    <w:p w14:paraId="6D0CC968" w14:textId="77777777" w:rsidR="00AD38EE" w:rsidRPr="002C3F31" w:rsidRDefault="00AD38EE" w:rsidP="00AD38EE">
      <w:pPr>
        <w:jc w:val="center"/>
        <w:rPr>
          <w:rFonts w:eastAsia="Calibri" w:cs="Times New Roman"/>
          <w:b/>
        </w:rPr>
      </w:pPr>
      <w:r>
        <w:rPr>
          <w:rFonts w:eastAsia="Calibri" w:cs="Times New Roman"/>
          <w:b/>
        </w:rPr>
        <w:t>Peter Neaverson Award for Outstanding S</w:t>
      </w:r>
      <w:r w:rsidRPr="002C3F31">
        <w:rPr>
          <w:rFonts w:eastAsia="Calibri" w:cs="Times New Roman"/>
          <w:b/>
        </w:rPr>
        <w:t>cholarship</w:t>
      </w:r>
    </w:p>
    <w:p w14:paraId="1E979897" w14:textId="77777777" w:rsidR="00AD38EE" w:rsidRDefault="00AD38EE" w:rsidP="00AD38EE">
      <w:pPr>
        <w:rPr>
          <w:rFonts w:eastAsia="Calibri" w:cs="Times New Roman"/>
        </w:rPr>
      </w:pPr>
    </w:p>
    <w:p w14:paraId="38C58B6F" w14:textId="77777777" w:rsidR="00AD38EE" w:rsidRDefault="00AD38EE" w:rsidP="00AD38EE">
      <w:pPr>
        <w:rPr>
          <w:rFonts w:eastAsia="Calibri" w:cs="Times New Roman"/>
        </w:rPr>
      </w:pPr>
    </w:p>
    <w:p w14:paraId="0D82EC1B" w14:textId="77777777" w:rsidR="00AD38EE" w:rsidRDefault="00AD38EE" w:rsidP="00AD38EE">
      <w:pPr>
        <w:numPr>
          <w:ilvl w:val="0"/>
          <w:numId w:val="5"/>
        </w:numPr>
        <w:rPr>
          <w:rFonts w:eastAsia="Calibri" w:cs="Times New Roman"/>
        </w:rPr>
      </w:pPr>
      <w:r>
        <w:rPr>
          <w:rFonts w:eastAsia="Calibri" w:cs="Times New Roman"/>
        </w:rPr>
        <w:t>The award will be given to the author(s) of the work which, in the opinion of the judges, has, in the year in question, made the greatest contribution to the advancement of the discipline of industrial archaeology, for example in developing new methodologies, providing new insights or demonstrating outstanding scholarship.</w:t>
      </w:r>
    </w:p>
    <w:p w14:paraId="72A885EC" w14:textId="77777777" w:rsidR="00AD38EE" w:rsidRDefault="00AD38EE" w:rsidP="00AD38EE">
      <w:pPr>
        <w:rPr>
          <w:rFonts w:eastAsia="Calibri" w:cs="Times New Roman"/>
        </w:rPr>
      </w:pPr>
    </w:p>
    <w:p w14:paraId="46269ED4" w14:textId="2C3947D1" w:rsidR="00AD38EE" w:rsidRDefault="00AD38EE" w:rsidP="00AD38EE">
      <w:pPr>
        <w:numPr>
          <w:ilvl w:val="0"/>
          <w:numId w:val="5"/>
        </w:numPr>
        <w:rPr>
          <w:rFonts w:eastAsia="Calibri" w:cs="Times New Roman"/>
        </w:rPr>
      </w:pPr>
      <w:r>
        <w:rPr>
          <w:rFonts w:eastAsia="Calibri" w:cs="Times New Roman"/>
        </w:rPr>
        <w:t>Any work published in English anywhere in the world is eligible for consideration, whether it be a paper, article, book or published thesis, normally within two years of publication</w:t>
      </w:r>
      <w:r>
        <w:t>.</w:t>
      </w:r>
      <w:r>
        <w:rPr>
          <w:rFonts w:eastAsia="Calibri" w:cs="Times New Roman"/>
        </w:rPr>
        <w:t xml:space="preserve"> </w:t>
      </w:r>
      <w:r>
        <w:t>The judges may extend this two-year period if circumstances have delayed the nomination, for example in the case of books not published in the UK.</w:t>
      </w:r>
    </w:p>
    <w:p w14:paraId="52A7FAAA" w14:textId="77777777" w:rsidR="00AD38EE" w:rsidRDefault="00AD38EE" w:rsidP="00AD38EE">
      <w:pPr>
        <w:rPr>
          <w:rFonts w:eastAsia="Calibri" w:cs="Times New Roman"/>
        </w:rPr>
      </w:pPr>
    </w:p>
    <w:p w14:paraId="114828D2" w14:textId="699F3485" w:rsidR="00AD38EE" w:rsidRPr="00874A18" w:rsidRDefault="00AD38EE" w:rsidP="00AD38EE">
      <w:pPr>
        <w:numPr>
          <w:ilvl w:val="0"/>
          <w:numId w:val="5"/>
        </w:numPr>
      </w:pPr>
      <w:r>
        <w:rPr>
          <w:rFonts w:eastAsia="Calibri" w:cs="Times New Roman"/>
        </w:rPr>
        <w:t>Nominations for works to be considered for the a</w:t>
      </w:r>
      <w:r>
        <w:t>ward can be made by any member</w:t>
      </w:r>
      <w:r>
        <w:rPr>
          <w:rFonts w:eastAsia="Calibri" w:cs="Times New Roman"/>
        </w:rPr>
        <w:t xml:space="preserve"> of the AIA</w:t>
      </w:r>
      <w:r>
        <w:t xml:space="preserve"> and its Affiliated Societies.</w:t>
      </w:r>
      <w:r>
        <w:rPr>
          <w:rFonts w:eastAsia="Calibri" w:cs="Times New Roman"/>
        </w:rPr>
        <w:t xml:space="preserve"> </w:t>
      </w:r>
      <w:r>
        <w:t>They must be made on the relevant nomination form and</w:t>
      </w:r>
      <w:r>
        <w:rPr>
          <w:rFonts w:eastAsia="Calibri" w:cs="Times New Roman"/>
        </w:rPr>
        <w:t xml:space="preserve"> reach the AIA Liaison Officer </w:t>
      </w:r>
      <w:r w:rsidRPr="00971C24">
        <w:rPr>
          <w:rFonts w:eastAsia="Calibri" w:cs="Times New Roman"/>
          <w:b/>
        </w:rPr>
        <w:t>by January 31</w:t>
      </w:r>
      <w:r w:rsidRPr="00971C24">
        <w:rPr>
          <w:rFonts w:eastAsia="Calibri" w:cs="Times New Roman"/>
          <w:b/>
          <w:vertAlign w:val="superscript"/>
        </w:rPr>
        <w:t>st</w:t>
      </w:r>
      <w:r>
        <w:t xml:space="preserve"> for consideration for that year’s award.</w:t>
      </w:r>
      <w:r>
        <w:rPr>
          <w:rFonts w:eastAsia="Calibri" w:cs="Times New Roman"/>
        </w:rPr>
        <w:t xml:space="preserve">   </w:t>
      </w:r>
    </w:p>
    <w:p w14:paraId="1852CAB2" w14:textId="77777777" w:rsidR="00AD38EE" w:rsidRPr="00874A18" w:rsidRDefault="00AD38EE" w:rsidP="00AD38EE">
      <w:pPr>
        <w:ind w:left="720"/>
      </w:pPr>
    </w:p>
    <w:p w14:paraId="3B36D04D" w14:textId="77777777" w:rsidR="00AD38EE" w:rsidRDefault="00AD38EE" w:rsidP="00AD38EE">
      <w:pPr>
        <w:numPr>
          <w:ilvl w:val="0"/>
          <w:numId w:val="5"/>
        </w:numPr>
      </w:pPr>
      <w:r>
        <w:t>Should the judges consider that a nomination does not meet the criteria for this award, the AIA reserves the right to submit it for one of its other awards.</w:t>
      </w:r>
    </w:p>
    <w:p w14:paraId="40E1F84F" w14:textId="77777777" w:rsidR="00AD38EE" w:rsidRDefault="00AD38EE" w:rsidP="00AD38EE">
      <w:pPr>
        <w:ind w:left="720"/>
      </w:pPr>
    </w:p>
    <w:p w14:paraId="37FFBC7A" w14:textId="738278F1" w:rsidR="00AD38EE" w:rsidRDefault="00AD38EE" w:rsidP="00AD38EE">
      <w:pPr>
        <w:numPr>
          <w:ilvl w:val="0"/>
          <w:numId w:val="5"/>
        </w:numPr>
      </w:pPr>
      <w:r>
        <w:rPr>
          <w:rFonts w:eastAsia="Calibri" w:cs="Times New Roman"/>
        </w:rPr>
        <w:t xml:space="preserve">Three judges for the award will be appointed by AIA Council; one of these will be an editor of </w:t>
      </w:r>
      <w:r w:rsidRPr="00A06D72">
        <w:rPr>
          <w:rFonts w:eastAsia="Calibri" w:cs="Times New Roman"/>
          <w:i/>
        </w:rPr>
        <w:t>I</w:t>
      </w:r>
      <w:r>
        <w:rPr>
          <w:rFonts w:eastAsia="Calibri" w:cs="Times New Roman"/>
          <w:i/>
        </w:rPr>
        <w:t xml:space="preserve">ndustrial </w:t>
      </w:r>
      <w:r w:rsidRPr="00A06D72">
        <w:rPr>
          <w:rFonts w:eastAsia="Calibri" w:cs="Times New Roman"/>
          <w:i/>
        </w:rPr>
        <w:t>A</w:t>
      </w:r>
      <w:r>
        <w:rPr>
          <w:rFonts w:eastAsia="Calibri" w:cs="Times New Roman"/>
          <w:i/>
        </w:rPr>
        <w:t>rchaeology</w:t>
      </w:r>
      <w:r w:rsidRPr="00A06D72">
        <w:rPr>
          <w:rFonts w:eastAsia="Calibri" w:cs="Times New Roman"/>
          <w:i/>
        </w:rPr>
        <w:t xml:space="preserve"> Review</w:t>
      </w:r>
      <w:r>
        <w:rPr>
          <w:rFonts w:eastAsia="Calibri" w:cs="Times New Roman"/>
        </w:rPr>
        <w:t>.  A simple majority is required for their decisions.</w:t>
      </w:r>
    </w:p>
    <w:p w14:paraId="68EE5CA0" w14:textId="77777777" w:rsidR="00AD38EE" w:rsidRDefault="00AD38EE" w:rsidP="00AD38EE">
      <w:pPr>
        <w:ind w:left="720"/>
        <w:rPr>
          <w:rFonts w:eastAsia="Calibri" w:cs="Times New Roman"/>
        </w:rPr>
      </w:pPr>
    </w:p>
    <w:p w14:paraId="1B644AD5" w14:textId="77777777" w:rsidR="00AD38EE" w:rsidRDefault="00AD38EE" w:rsidP="00AD38EE">
      <w:pPr>
        <w:numPr>
          <w:ilvl w:val="0"/>
          <w:numId w:val="5"/>
        </w:numPr>
        <w:rPr>
          <w:rFonts w:eastAsia="Calibri" w:cs="Times New Roman"/>
        </w:rPr>
      </w:pPr>
      <w:r>
        <w:t>No person who has written, or made a significant contribution to, a particular work can nominate or judge it.</w:t>
      </w:r>
    </w:p>
    <w:p w14:paraId="719785A6" w14:textId="77777777" w:rsidR="00AD38EE" w:rsidRDefault="00AD38EE" w:rsidP="00AD38EE">
      <w:pPr>
        <w:ind w:left="360"/>
        <w:rPr>
          <w:rFonts w:eastAsia="Calibri" w:cs="Times New Roman"/>
        </w:rPr>
      </w:pPr>
    </w:p>
    <w:p w14:paraId="5CEF1AF4" w14:textId="516609B9" w:rsidR="00AD38EE" w:rsidRDefault="00AD38EE" w:rsidP="00AD38EE">
      <w:pPr>
        <w:numPr>
          <w:ilvl w:val="0"/>
          <w:numId w:val="5"/>
        </w:numPr>
        <w:rPr>
          <w:rFonts w:eastAsia="Calibri" w:cs="Times New Roman"/>
        </w:rPr>
      </w:pPr>
      <w:r>
        <w:t>In the event that two equally-outstanding nominations are received in any year, the judges may make two awards. However, s</w:t>
      </w:r>
      <w:r>
        <w:rPr>
          <w:rFonts w:eastAsia="Calibri" w:cs="Times New Roman"/>
        </w:rPr>
        <w:t>hould the judges consider that no nominations in a particular year meet the required criteria, no award will be made.</w:t>
      </w:r>
    </w:p>
    <w:p w14:paraId="5BE9E0F9" w14:textId="77777777" w:rsidR="00AD38EE" w:rsidRDefault="00AD38EE" w:rsidP="00AD38EE">
      <w:pPr>
        <w:rPr>
          <w:rFonts w:eastAsia="Calibri" w:cs="Times New Roman"/>
        </w:rPr>
      </w:pPr>
    </w:p>
    <w:p w14:paraId="3668A499" w14:textId="6784B4B0" w:rsidR="00AD38EE" w:rsidRDefault="00AD38EE" w:rsidP="00AD38EE">
      <w:pPr>
        <w:numPr>
          <w:ilvl w:val="0"/>
          <w:numId w:val="5"/>
        </w:numPr>
        <w:rPr>
          <w:rFonts w:eastAsia="Calibri" w:cs="Times New Roman"/>
        </w:rPr>
      </w:pPr>
      <w:r>
        <w:rPr>
          <w:rFonts w:eastAsia="Calibri" w:cs="Times New Roman"/>
        </w:rPr>
        <w:t>The prize will be a cash award of £500, together with a certificate. Winners (up to a maximum of two) are also entitled to one year’s free membership of AIA.</w:t>
      </w:r>
    </w:p>
    <w:p w14:paraId="677F49E3" w14:textId="77777777" w:rsidR="00AD38EE" w:rsidRDefault="00AD38EE" w:rsidP="00AD38EE">
      <w:pPr>
        <w:rPr>
          <w:rFonts w:eastAsia="Calibri" w:cs="Times New Roman"/>
        </w:rPr>
      </w:pPr>
    </w:p>
    <w:p w14:paraId="41591543" w14:textId="55F4A77E" w:rsidR="00AD38EE" w:rsidRDefault="00AD38EE" w:rsidP="00AD38EE">
      <w:pPr>
        <w:numPr>
          <w:ilvl w:val="0"/>
          <w:numId w:val="5"/>
        </w:numPr>
      </w:pPr>
      <w:r w:rsidRPr="00AD38EE">
        <w:rPr>
          <w:rFonts w:eastAsia="Calibri" w:cs="Times New Roman"/>
        </w:rPr>
        <w:t>The winner(s) will be invited to the AIA’s Annual Conference to receive the award, and to speak about their work</w:t>
      </w:r>
      <w:r>
        <w:t>.</w:t>
      </w:r>
      <w:r w:rsidRPr="00AD38EE">
        <w:rPr>
          <w:rFonts w:eastAsia="Calibri" w:cs="Times New Roman"/>
        </w:rPr>
        <w:t xml:space="preserve"> </w:t>
      </w:r>
      <w:r>
        <w:t xml:space="preserve">Details of winning entries will be published in </w:t>
      </w:r>
      <w:r w:rsidRPr="00AD38EE">
        <w:rPr>
          <w:i/>
        </w:rPr>
        <w:t>IA News</w:t>
      </w:r>
      <w:r>
        <w:t xml:space="preserve"> and a</w:t>
      </w:r>
      <w:r w:rsidRPr="00AD38EE">
        <w:rPr>
          <w:rFonts w:eastAsia="Calibri" w:cs="Times New Roman"/>
        </w:rPr>
        <w:t xml:space="preserve"> list of all winners</w:t>
      </w:r>
      <w:r>
        <w:t xml:space="preserve"> will be maintained</w:t>
      </w:r>
      <w:r w:rsidRPr="00AD38EE">
        <w:rPr>
          <w:rFonts w:eastAsia="Calibri" w:cs="Times New Roman"/>
        </w:rPr>
        <w:t xml:space="preserve"> on the AIA web site.</w:t>
      </w:r>
      <w:r>
        <w:br w:type="page"/>
      </w:r>
    </w:p>
    <w:p w14:paraId="11918987" w14:textId="77777777" w:rsidR="00AD38EE" w:rsidRDefault="00AD38EE" w:rsidP="00AD38EE">
      <w:pPr>
        <w:jc w:val="center"/>
      </w:pPr>
      <w:r>
        <w:rPr>
          <w:noProof/>
          <w:lang w:eastAsia="en-GB"/>
        </w:rPr>
        <w:lastRenderedPageBreak/>
        <w:drawing>
          <wp:inline distT="0" distB="0" distL="0" distR="0" wp14:anchorId="32FE984A" wp14:editId="6C25243A">
            <wp:extent cx="1143000" cy="800100"/>
            <wp:effectExtent l="19050" t="0" r="0" b="0"/>
            <wp:docPr id="6" name="Picture 4" descr="NEW_L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LOG2"/>
                    <pic:cNvPicPr>
                      <a:picLocks noChangeAspect="1" noChangeArrowheads="1"/>
                    </pic:cNvPicPr>
                  </pic:nvPicPr>
                  <pic:blipFill>
                    <a:blip r:embed="rId7"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p>
    <w:p w14:paraId="1755BFE2" w14:textId="77777777" w:rsidR="00AD38EE" w:rsidRDefault="00AD38EE" w:rsidP="00AD38EE">
      <w:pPr>
        <w:jc w:val="center"/>
        <w:rPr>
          <w:rFonts w:eastAsia="Calibri" w:cs="Times New Roman"/>
          <w:b/>
        </w:rPr>
      </w:pPr>
      <w:r>
        <w:rPr>
          <w:rFonts w:eastAsia="Calibri" w:cs="Times New Roman"/>
          <w:b/>
        </w:rPr>
        <w:t>Peter Neaverson Award for Outstanding S</w:t>
      </w:r>
      <w:r w:rsidRPr="002C3F31">
        <w:rPr>
          <w:rFonts w:eastAsia="Calibri" w:cs="Times New Roman"/>
          <w:b/>
        </w:rPr>
        <w:t>cholarship</w:t>
      </w:r>
    </w:p>
    <w:p w14:paraId="28C5C436" w14:textId="77777777" w:rsidR="00971C24" w:rsidRPr="002C3F31" w:rsidRDefault="00971C24" w:rsidP="00AD38EE">
      <w:pPr>
        <w:jc w:val="center"/>
        <w:rPr>
          <w:rFonts w:eastAsia="Calibri" w:cs="Times New Roman"/>
          <w:b/>
        </w:rPr>
      </w:pPr>
    </w:p>
    <w:p w14:paraId="4FAF11A6" w14:textId="77777777" w:rsidR="00AD38EE" w:rsidRDefault="00AD38EE" w:rsidP="00AD38EE">
      <w:pPr>
        <w:jc w:val="center"/>
        <w:rPr>
          <w:b/>
        </w:rPr>
      </w:pPr>
      <w:r w:rsidRPr="00DE7277">
        <w:rPr>
          <w:b/>
        </w:rPr>
        <w:t>Nomination Form</w:t>
      </w:r>
    </w:p>
    <w:p w14:paraId="0A44F143" w14:textId="77777777" w:rsidR="00AD38EE" w:rsidRDefault="00AD38EE" w:rsidP="00AD38EE">
      <w:pPr>
        <w:jc w:val="center"/>
        <w:rPr>
          <w:b/>
        </w:rPr>
      </w:pPr>
    </w:p>
    <w:p w14:paraId="11E856A8" w14:textId="1463530E" w:rsidR="00AD38EE" w:rsidRDefault="00AD38EE" w:rsidP="00AD38EE">
      <w:pPr>
        <w:jc w:val="both"/>
      </w:pPr>
      <w:r w:rsidRPr="00DE7277">
        <w:t xml:space="preserve">Please read the </w:t>
      </w:r>
      <w:r>
        <w:t xml:space="preserve">rules for this award before making a nomination. Nominations must reach the AIA </w:t>
      </w:r>
      <w:r w:rsidR="005E5E5F">
        <w:t xml:space="preserve">Hon </w:t>
      </w:r>
      <w:r w:rsidR="00971C24">
        <w:t>Secretary</w:t>
      </w:r>
      <w:r>
        <w:t xml:space="preserve"> </w:t>
      </w:r>
      <w:r w:rsidRPr="00971C24">
        <w:rPr>
          <w:b/>
        </w:rPr>
        <w:t>by 31</w:t>
      </w:r>
      <w:r w:rsidRPr="00971C24">
        <w:rPr>
          <w:b/>
          <w:vertAlign w:val="superscript"/>
        </w:rPr>
        <w:t>st</w:t>
      </w:r>
      <w:r w:rsidRPr="00971C24">
        <w:rPr>
          <w:b/>
        </w:rPr>
        <w:t xml:space="preserve"> January</w:t>
      </w:r>
      <w:r>
        <w:t xml:space="preserve"> for consideration for that year’s award</w:t>
      </w:r>
      <w:r w:rsidR="00971C24">
        <w:t xml:space="preserve">, sent to </w:t>
      </w:r>
      <w:hyperlink r:id="rId8" w:history="1">
        <w:r w:rsidR="00971C24" w:rsidRPr="002041BC">
          <w:rPr>
            <w:rStyle w:val="Hyperlink"/>
          </w:rPr>
          <w:t>secretary@industrial-archaeology.org</w:t>
        </w:r>
      </w:hyperlink>
      <w:r w:rsidR="00971C24">
        <w:t xml:space="preserve"> or by post to </w:t>
      </w:r>
      <w:r w:rsidR="009D2F8B">
        <w:t>AIA Hon Secretary, 2, Wesley Court, Duke Street, Broseley</w:t>
      </w:r>
      <w:r w:rsidR="00B65AA3">
        <w:t>, Shropshire TF</w:t>
      </w:r>
      <w:r w:rsidR="009D2F8B">
        <w:t>12</w:t>
      </w:r>
      <w:r w:rsidR="00B65AA3">
        <w:t xml:space="preserve"> 5</w:t>
      </w:r>
      <w:r w:rsidR="009D2F8B">
        <w:t>LS</w:t>
      </w:r>
      <w:r>
        <w:t>.</w:t>
      </w:r>
    </w:p>
    <w:p w14:paraId="1951312B" w14:textId="77777777" w:rsidR="00AD38EE" w:rsidRDefault="00AD38EE" w:rsidP="00AD38EE">
      <w:pPr>
        <w:jc w:val="both"/>
      </w:pPr>
    </w:p>
    <w:p w14:paraId="5AD7F2B2" w14:textId="77777777" w:rsidR="00AD38EE" w:rsidRDefault="00AD38EE" w:rsidP="00AD38EE">
      <w:pPr>
        <w:jc w:val="both"/>
      </w:pPr>
    </w:p>
    <w:p w14:paraId="298679B9" w14:textId="77777777" w:rsidR="00AD38EE" w:rsidRDefault="00AD38EE" w:rsidP="00AD38EE">
      <w:r>
        <w:t>Name:</w:t>
      </w:r>
      <w:r>
        <w:tab/>
      </w:r>
      <w:r>
        <w:tab/>
        <w:t>............................................................................................................</w:t>
      </w:r>
    </w:p>
    <w:p w14:paraId="26F866A1" w14:textId="77777777" w:rsidR="00AD38EE" w:rsidRDefault="00AD38EE" w:rsidP="00AD38EE"/>
    <w:p w14:paraId="2285FFB6" w14:textId="77777777" w:rsidR="00AD38EE" w:rsidRDefault="00AD38EE" w:rsidP="00AD38EE">
      <w:r>
        <w:t>Address:</w:t>
      </w:r>
      <w:r>
        <w:tab/>
        <w:t>...........................................................................................................</w:t>
      </w:r>
    </w:p>
    <w:p w14:paraId="09AFBF10" w14:textId="77777777" w:rsidR="00AD38EE" w:rsidRDefault="00AD38EE" w:rsidP="00AD38EE"/>
    <w:p w14:paraId="36418967" w14:textId="77777777" w:rsidR="00AD38EE" w:rsidRDefault="00AD38EE" w:rsidP="00AD38EE">
      <w:r>
        <w:tab/>
      </w:r>
      <w:r>
        <w:tab/>
        <w:t>...........................................................................................................</w:t>
      </w:r>
    </w:p>
    <w:p w14:paraId="0B40FDED" w14:textId="77777777" w:rsidR="00AD38EE" w:rsidRDefault="00AD38EE" w:rsidP="00AD38EE"/>
    <w:p w14:paraId="575A27D7" w14:textId="77777777" w:rsidR="00AD38EE" w:rsidRDefault="00AD38EE" w:rsidP="00AD38EE">
      <w:r>
        <w:t>e-mail:</w:t>
      </w:r>
      <w:r>
        <w:tab/>
        <w:t>...........................................................................................................</w:t>
      </w:r>
    </w:p>
    <w:p w14:paraId="38B74C88" w14:textId="77777777" w:rsidR="00AD38EE" w:rsidRDefault="00AD38EE" w:rsidP="00AD38EE"/>
    <w:p w14:paraId="6AFFC6AF" w14:textId="77777777" w:rsidR="00AD38EE" w:rsidRDefault="00AD38EE" w:rsidP="00AD38EE">
      <w:r>
        <w:t>Telephone:</w:t>
      </w:r>
      <w:r>
        <w:tab/>
        <w:t>...........................................................................................................</w:t>
      </w:r>
    </w:p>
    <w:p w14:paraId="71761A23" w14:textId="77777777" w:rsidR="00AD38EE" w:rsidRDefault="00AD38EE" w:rsidP="00AD38EE"/>
    <w:p w14:paraId="5AD5A693" w14:textId="77777777" w:rsidR="00AD38EE" w:rsidRDefault="00AD38EE" w:rsidP="00AD38EE">
      <w:r>
        <w:t>Signature</w:t>
      </w:r>
      <w:r>
        <w:tab/>
        <w:t>...........................................  Date: ....................................................</w:t>
      </w:r>
    </w:p>
    <w:p w14:paraId="51644AF7" w14:textId="77777777" w:rsidR="00AD38EE" w:rsidRDefault="00AD38EE" w:rsidP="00AD38EE"/>
    <w:p w14:paraId="0F9CBF59" w14:textId="77777777" w:rsidR="00AD38EE" w:rsidRPr="00DE7277" w:rsidRDefault="00AD38EE" w:rsidP="00AD38EE">
      <w:pPr>
        <w:jc w:val="center"/>
        <w:rPr>
          <w:b/>
        </w:rPr>
      </w:pPr>
      <w:r w:rsidRPr="00DE7277">
        <w:rPr>
          <w:b/>
        </w:rPr>
        <w:t>Details of nominated work</w:t>
      </w:r>
    </w:p>
    <w:p w14:paraId="0B65761A" w14:textId="77777777" w:rsidR="00AD38EE" w:rsidRDefault="00AD38EE" w:rsidP="00AD38EE"/>
    <w:p w14:paraId="4E7082D6" w14:textId="77777777" w:rsidR="00AD38EE" w:rsidRDefault="00AD38EE" w:rsidP="00AD38EE">
      <w:r>
        <w:t>Title:</w:t>
      </w:r>
      <w:r>
        <w:tab/>
      </w:r>
      <w:r>
        <w:tab/>
        <w:t>...........................................................................................................</w:t>
      </w:r>
    </w:p>
    <w:p w14:paraId="4D5818D8" w14:textId="77777777" w:rsidR="00AD38EE" w:rsidRDefault="00AD38EE" w:rsidP="00AD38EE"/>
    <w:p w14:paraId="47BDECC9" w14:textId="77777777" w:rsidR="00AD38EE" w:rsidRDefault="00AD38EE" w:rsidP="00AD38EE">
      <w:r>
        <w:t>Author</w:t>
      </w:r>
      <w:r>
        <w:tab/>
        <w:t>:</w:t>
      </w:r>
      <w:r>
        <w:tab/>
        <w:t>...........................................................................................................</w:t>
      </w:r>
    </w:p>
    <w:p w14:paraId="5C31BE73" w14:textId="77777777" w:rsidR="00AD38EE" w:rsidRDefault="00AD38EE" w:rsidP="00AD38EE"/>
    <w:p w14:paraId="7B641D09" w14:textId="77777777" w:rsidR="00AD38EE" w:rsidRDefault="00AD38EE" w:rsidP="00AD38EE">
      <w:r>
        <w:t>Publisher:</w:t>
      </w:r>
      <w:r>
        <w:tab/>
        <w:t>...........................................................................................................</w:t>
      </w:r>
    </w:p>
    <w:p w14:paraId="4ABAEB9D" w14:textId="77777777" w:rsidR="00AD38EE" w:rsidRDefault="00AD38EE" w:rsidP="00AD38EE"/>
    <w:p w14:paraId="7FEDBDEC" w14:textId="77777777" w:rsidR="00AD38EE" w:rsidRDefault="00AD38EE" w:rsidP="00AD38EE">
      <w:r>
        <w:t>Publication date:</w:t>
      </w:r>
      <w:r>
        <w:tab/>
        <w:t>................................................................................................</w:t>
      </w:r>
    </w:p>
    <w:p w14:paraId="5E9C0968" w14:textId="77777777" w:rsidR="00AD38EE" w:rsidRDefault="00AD38EE" w:rsidP="00AD38EE"/>
    <w:p w14:paraId="2321D298" w14:textId="77777777" w:rsidR="00AD38EE" w:rsidRDefault="00AD38EE" w:rsidP="00AD38EE">
      <w:r>
        <w:t>Reason for nomination (continue on a separate sheet if necessary):</w:t>
      </w:r>
    </w:p>
    <w:p w14:paraId="6398D5B4" w14:textId="77777777" w:rsidR="00AD38EE" w:rsidRDefault="00AD38EE" w:rsidP="00AD38EE"/>
    <w:p w14:paraId="794B34FA" w14:textId="77777777" w:rsidR="00AD38EE" w:rsidRDefault="00AD38EE" w:rsidP="00AD38EE">
      <w:r>
        <w:t>.................................................................................................................................</w:t>
      </w:r>
    </w:p>
    <w:p w14:paraId="553C4BD0" w14:textId="77777777" w:rsidR="00AD38EE" w:rsidRDefault="00AD38EE" w:rsidP="00AD38EE"/>
    <w:p w14:paraId="0535411C" w14:textId="77777777" w:rsidR="00AD38EE" w:rsidRDefault="00AD38EE" w:rsidP="00AD38EE">
      <w:r>
        <w:t>.................................................................................................................................</w:t>
      </w:r>
    </w:p>
    <w:p w14:paraId="670F7AC7" w14:textId="77777777" w:rsidR="00AD38EE" w:rsidRDefault="00AD38EE" w:rsidP="00AD38EE"/>
    <w:p w14:paraId="57E6198E" w14:textId="77777777" w:rsidR="00AD38EE" w:rsidRDefault="00AD38EE" w:rsidP="00AD38EE">
      <w:r>
        <w:t>.................................................................................................................................</w:t>
      </w:r>
    </w:p>
    <w:p w14:paraId="316F40B1" w14:textId="77777777" w:rsidR="00AD38EE" w:rsidRDefault="00AD38EE" w:rsidP="00AD38EE"/>
    <w:p w14:paraId="1411938E" w14:textId="77777777" w:rsidR="00AD38EE" w:rsidRDefault="00AD38EE" w:rsidP="00AD38EE">
      <w:r>
        <w:t>.................................................................................................................................</w:t>
      </w:r>
    </w:p>
    <w:p w14:paraId="01566C7B" w14:textId="77777777" w:rsidR="00AD38EE" w:rsidRDefault="00AD38EE" w:rsidP="00AD38EE"/>
    <w:p w14:paraId="6B8C5F81" w14:textId="77777777" w:rsidR="00AD38EE" w:rsidRDefault="00AD38EE" w:rsidP="00AD38EE">
      <w:r>
        <w:t>.................................................................................................................................</w:t>
      </w:r>
    </w:p>
    <w:p w14:paraId="0338DA3E" w14:textId="77777777" w:rsidR="00AD38EE" w:rsidRDefault="00AD38EE" w:rsidP="00AD38EE"/>
    <w:p w14:paraId="37193DA3" w14:textId="77777777" w:rsidR="00AD38EE" w:rsidRDefault="00AD38EE" w:rsidP="00AD38EE">
      <w:r>
        <w:t>.................................................................................................................................</w:t>
      </w:r>
    </w:p>
    <w:p w14:paraId="5E5E6A23" w14:textId="77777777" w:rsidR="00AD38EE" w:rsidRDefault="00AD38EE" w:rsidP="00AD38EE"/>
    <w:p w14:paraId="6941587D" w14:textId="77777777" w:rsidR="006B6E04" w:rsidRDefault="006B6E04"/>
    <w:sectPr w:rsidR="006B6E04" w:rsidSect="00971C24">
      <w:foot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12EB4" w14:textId="77777777" w:rsidR="00007D20" w:rsidRDefault="00007D20" w:rsidP="00AD38EE">
      <w:r>
        <w:separator/>
      </w:r>
    </w:p>
  </w:endnote>
  <w:endnote w:type="continuationSeparator" w:id="0">
    <w:p w14:paraId="27FB6AE4" w14:textId="77777777" w:rsidR="00007D20" w:rsidRDefault="00007D20" w:rsidP="00AD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3D8D" w14:textId="67167417" w:rsidR="00AD38EE" w:rsidRDefault="00B65AA3" w:rsidP="00AD38EE">
    <w:pPr>
      <w:pStyle w:val="Footer"/>
      <w:jc w:val="center"/>
    </w:pPr>
    <w:r>
      <w:t xml:space="preserve">Revised </w:t>
    </w:r>
    <w:r w:rsidR="009D2F8B">
      <w:t>January</w:t>
    </w:r>
    <w:r w:rsidR="00E6408E">
      <w:t xml:space="preserve"> 202</w:t>
    </w:r>
    <w:r w:rsidR="009D2F8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B35F5" w14:textId="77777777" w:rsidR="00007D20" w:rsidRDefault="00007D20" w:rsidP="00AD38EE">
      <w:r>
        <w:separator/>
      </w:r>
    </w:p>
  </w:footnote>
  <w:footnote w:type="continuationSeparator" w:id="0">
    <w:p w14:paraId="73435E51" w14:textId="77777777" w:rsidR="00007D20" w:rsidRDefault="00007D20" w:rsidP="00AD3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3BEF"/>
    <w:multiLevelType w:val="multilevel"/>
    <w:tmpl w:val="F8EAE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F535EF"/>
    <w:multiLevelType w:val="hybridMultilevel"/>
    <w:tmpl w:val="8584938E"/>
    <w:lvl w:ilvl="0" w:tplc="6FA8D83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14893"/>
    <w:multiLevelType w:val="hybridMultilevel"/>
    <w:tmpl w:val="DB281E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581739"/>
    <w:multiLevelType w:val="multilevel"/>
    <w:tmpl w:val="1036665E"/>
    <w:lvl w:ilvl="0">
      <w:start w:val="1"/>
      <w:numFmt w:val="decimal"/>
      <w:pStyle w:val="Comment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5E65A97"/>
    <w:multiLevelType w:val="hybridMultilevel"/>
    <w:tmpl w:val="409E74B4"/>
    <w:lvl w:ilvl="0" w:tplc="D33AF1C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2131272">
    <w:abstractNumId w:val="4"/>
  </w:num>
  <w:num w:numId="2" w16cid:durableId="110515952">
    <w:abstractNumId w:val="0"/>
  </w:num>
  <w:num w:numId="3" w16cid:durableId="1004629648">
    <w:abstractNumId w:val="1"/>
  </w:num>
  <w:num w:numId="4" w16cid:durableId="900600426">
    <w:abstractNumId w:val="3"/>
  </w:num>
  <w:num w:numId="5" w16cid:durableId="2054111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EE"/>
    <w:rsid w:val="00007D20"/>
    <w:rsid w:val="00022B8A"/>
    <w:rsid w:val="00165D09"/>
    <w:rsid w:val="003B48B5"/>
    <w:rsid w:val="00433C2E"/>
    <w:rsid w:val="00553D17"/>
    <w:rsid w:val="00596178"/>
    <w:rsid w:val="005E5E5F"/>
    <w:rsid w:val="006764DF"/>
    <w:rsid w:val="006B6E04"/>
    <w:rsid w:val="00735214"/>
    <w:rsid w:val="00971C24"/>
    <w:rsid w:val="009A58AE"/>
    <w:rsid w:val="009D2F8B"/>
    <w:rsid w:val="009D3068"/>
    <w:rsid w:val="00AC2750"/>
    <w:rsid w:val="00AD38EE"/>
    <w:rsid w:val="00B65AA3"/>
    <w:rsid w:val="00B922B8"/>
    <w:rsid w:val="00D26E96"/>
    <w:rsid w:val="00D53DBB"/>
    <w:rsid w:val="00E13D71"/>
    <w:rsid w:val="00E64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82F1"/>
  <w15:chartTrackingRefBased/>
  <w15:docId w15:val="{5FB20FA9-43B6-4984-87AB-2905145A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8E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sid w:val="00165D09"/>
    <w:pPr>
      <w:numPr>
        <w:numId w:val="4"/>
      </w:numPr>
      <w:ind w:hanging="360"/>
    </w:pPr>
  </w:style>
  <w:style w:type="character" w:customStyle="1" w:styleId="CommentTextChar">
    <w:name w:val="Comment Text Char"/>
    <w:basedOn w:val="DefaultParagraphFont"/>
    <w:link w:val="CommentText"/>
    <w:rsid w:val="00165D09"/>
  </w:style>
  <w:style w:type="paragraph" w:styleId="Header">
    <w:name w:val="header"/>
    <w:basedOn w:val="Normal"/>
    <w:link w:val="HeaderChar"/>
    <w:uiPriority w:val="99"/>
    <w:unhideWhenUsed/>
    <w:rsid w:val="00AD38EE"/>
    <w:pPr>
      <w:tabs>
        <w:tab w:val="center" w:pos="4513"/>
        <w:tab w:val="right" w:pos="9026"/>
      </w:tabs>
    </w:pPr>
  </w:style>
  <w:style w:type="character" w:customStyle="1" w:styleId="HeaderChar">
    <w:name w:val="Header Char"/>
    <w:basedOn w:val="DefaultParagraphFont"/>
    <w:link w:val="Header"/>
    <w:uiPriority w:val="99"/>
    <w:rsid w:val="00AD38EE"/>
    <w:rPr>
      <w:rFonts w:ascii="Arial" w:hAnsi="Arial"/>
      <w:sz w:val="24"/>
    </w:rPr>
  </w:style>
  <w:style w:type="paragraph" w:styleId="Footer">
    <w:name w:val="footer"/>
    <w:basedOn w:val="Normal"/>
    <w:link w:val="FooterChar"/>
    <w:uiPriority w:val="99"/>
    <w:unhideWhenUsed/>
    <w:rsid w:val="00AD38EE"/>
    <w:pPr>
      <w:tabs>
        <w:tab w:val="center" w:pos="4513"/>
        <w:tab w:val="right" w:pos="9026"/>
      </w:tabs>
    </w:pPr>
  </w:style>
  <w:style w:type="character" w:customStyle="1" w:styleId="FooterChar">
    <w:name w:val="Footer Char"/>
    <w:basedOn w:val="DefaultParagraphFont"/>
    <w:link w:val="Footer"/>
    <w:uiPriority w:val="99"/>
    <w:rsid w:val="00AD38EE"/>
    <w:rPr>
      <w:rFonts w:ascii="Arial" w:hAnsi="Arial"/>
      <w:sz w:val="24"/>
    </w:rPr>
  </w:style>
  <w:style w:type="character" w:styleId="Hyperlink">
    <w:name w:val="Hyperlink"/>
    <w:basedOn w:val="DefaultParagraphFont"/>
    <w:uiPriority w:val="99"/>
    <w:unhideWhenUsed/>
    <w:rsid w:val="00971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industrial-archaeology.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West</dc:creator>
  <cp:keywords/>
  <dc:description/>
  <cp:lastModifiedBy>Ian West</cp:lastModifiedBy>
  <cp:revision>3</cp:revision>
  <dcterms:created xsi:type="dcterms:W3CDTF">2022-10-27T17:00:00Z</dcterms:created>
  <dcterms:modified xsi:type="dcterms:W3CDTF">2025-01-14T13:59:00Z</dcterms:modified>
</cp:coreProperties>
</file>